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10215" w:type="dxa"/>
        <w:tblInd w:w="-1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9206"/>
      </w:tblGrid>
      <w:tr w:rsidR="004C3ADB" w:rsidRPr="00EB03DF" w:rsidTr="004C3ADB">
        <w:trPr>
          <w:trHeight w:hRule="exact" w:val="873"/>
        </w:trPr>
        <w:tc>
          <w:tcPr>
            <w:tcW w:w="10215" w:type="dxa"/>
            <w:gridSpan w:val="2"/>
          </w:tcPr>
          <w:p w:rsidR="004C3ADB" w:rsidRPr="00E02623" w:rsidRDefault="004C3ADB" w:rsidP="0098406A">
            <w:pPr>
              <w:pStyle w:val="a5"/>
              <w:spacing w:line="200" w:lineRule="exac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72F68B0" wp14:editId="60CFE3A7">
                  <wp:simplePos x="0" y="0"/>
                  <wp:positionH relativeFrom="column">
                    <wp:posOffset>6987</wp:posOffset>
                  </wp:positionH>
                  <wp:positionV relativeFrom="paragraph">
                    <wp:posOffset>193</wp:posOffset>
                  </wp:positionV>
                  <wp:extent cx="3286342" cy="4644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mnm--logo-for-documents.e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342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A217BB">
              <w:t xml:space="preserve"> </w:t>
            </w:r>
          </w:p>
        </w:tc>
      </w:tr>
      <w:tr w:rsidR="004C3ADB" w:rsidRPr="00EB03DF" w:rsidTr="004C3ADB">
        <w:trPr>
          <w:trHeight w:val="1134"/>
        </w:trPr>
        <w:tc>
          <w:tcPr>
            <w:tcW w:w="1009" w:type="dxa"/>
          </w:tcPr>
          <w:p w:rsidR="004C3ADB" w:rsidRPr="003A76DA" w:rsidRDefault="004C3ADB" w:rsidP="0098406A">
            <w:pPr>
              <w:rPr>
                <w:rFonts w:cs="Arial"/>
                <w:color w:val="FF0000"/>
                <w:szCs w:val="20"/>
                <w:lang w:val="en-US"/>
              </w:rPr>
            </w:pPr>
          </w:p>
        </w:tc>
        <w:tc>
          <w:tcPr>
            <w:tcW w:w="9206" w:type="dxa"/>
          </w:tcPr>
          <w:p w:rsidR="004C3ADB" w:rsidRDefault="004C3ADB" w:rsidP="0098406A">
            <w:pPr>
              <w:pStyle w:val="smnm"/>
            </w:pPr>
            <w:r>
              <w:t>Краснопресненская набережная, 8, Москва, 123100</w:t>
            </w:r>
          </w:p>
          <w:p w:rsidR="004C3ADB" w:rsidRDefault="004C3ADB" w:rsidP="0098406A">
            <w:pPr>
              <w:pStyle w:val="smnm"/>
            </w:pPr>
            <w:r>
              <w:t>Тел.: +7 (495) 221-31-</w:t>
            </w:r>
            <w:proofErr w:type="gramStart"/>
            <w:r>
              <w:t>12,  факс</w:t>
            </w:r>
            <w:proofErr w:type="gramEnd"/>
            <w:r>
              <w:t>: +7 (495) 646-92-36</w:t>
            </w:r>
          </w:p>
          <w:p w:rsidR="004C3ADB" w:rsidRPr="00F031AF" w:rsidRDefault="004C3ADB" w:rsidP="0098406A">
            <w:pPr>
              <w:pStyle w:val="smnm"/>
            </w:pPr>
            <w:r>
              <w:t>mail@reggarant.ru, www.reggarant.ru</w:t>
            </w:r>
          </w:p>
        </w:tc>
      </w:tr>
    </w:tbl>
    <w:p w:rsidR="00313428" w:rsidRPr="009F2569" w:rsidRDefault="00313428" w:rsidP="004B33D4">
      <w:pPr>
        <w:spacing w:after="0" w:line="240" w:lineRule="auto"/>
        <w:rPr>
          <w:rFonts w:ascii="Times New Roman" w:hAnsi="Times New Roman" w:cs="Times New Roman"/>
        </w:rPr>
      </w:pPr>
    </w:p>
    <w:p w:rsidR="009F2569" w:rsidRPr="009F2569" w:rsidRDefault="009F2569" w:rsidP="009F256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F2569">
        <w:rPr>
          <w:rFonts w:ascii="Times New Roman" w:hAnsi="Times New Roman" w:cs="Times New Roman"/>
          <w:b/>
          <w:bCs/>
          <w:sz w:val="20"/>
          <w:szCs w:val="20"/>
        </w:rPr>
        <w:t>Список документов,</w:t>
      </w:r>
    </w:p>
    <w:p w:rsidR="009F2569" w:rsidRPr="009F2569" w:rsidRDefault="009F2569" w:rsidP="009F256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F2569">
        <w:rPr>
          <w:rFonts w:ascii="Times New Roman" w:hAnsi="Times New Roman" w:cs="Times New Roman"/>
          <w:b/>
          <w:bCs/>
          <w:sz w:val="20"/>
          <w:szCs w:val="20"/>
        </w:rPr>
        <w:t>предоставляемых в ООО «Регистратор «Гарант»</w:t>
      </w:r>
    </w:p>
    <w:p w:rsidR="00313428" w:rsidRDefault="009F2569" w:rsidP="00B1458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2569">
        <w:rPr>
          <w:rFonts w:ascii="Times New Roman" w:hAnsi="Times New Roman" w:cs="Times New Roman"/>
          <w:b/>
          <w:bCs/>
          <w:sz w:val="20"/>
          <w:szCs w:val="20"/>
        </w:rPr>
        <w:t xml:space="preserve">при приеме реестра от </w:t>
      </w:r>
      <w:r w:rsidR="00114F9B" w:rsidRPr="00114F9B">
        <w:rPr>
          <w:rFonts w:ascii="Times New Roman" w:hAnsi="Times New Roman" w:cs="Times New Roman"/>
          <w:b/>
          <w:bCs/>
          <w:sz w:val="20"/>
          <w:szCs w:val="20"/>
        </w:rPr>
        <w:t>экс-Регистратора</w:t>
      </w:r>
    </w:p>
    <w:p w:rsidR="007178EA" w:rsidRDefault="007178EA" w:rsidP="00B1458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66"/>
        <w:gridCol w:w="5235"/>
        <w:gridCol w:w="2618"/>
        <w:gridCol w:w="1133"/>
      </w:tblGrid>
      <w:tr w:rsidR="0060077C" w:rsidRPr="009F2569" w:rsidTr="00CF36AA">
        <w:trPr>
          <w:trHeight w:val="323"/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9F2569" w:rsidRPr="009F2569" w:rsidRDefault="009F2569" w:rsidP="00A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F2569" w:rsidRPr="009F2569" w:rsidRDefault="009F2569" w:rsidP="00A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документа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F14B9" w:rsidRDefault="009F2569" w:rsidP="00A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Тип документа </w:t>
            </w:r>
          </w:p>
          <w:p w:rsidR="001F14B9" w:rsidRDefault="009F2569" w:rsidP="00A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указанием формы заверения</w:t>
            </w:r>
          </w:p>
          <w:p w:rsidR="009F2569" w:rsidRPr="009F2569" w:rsidRDefault="009F2569" w:rsidP="00A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(оригинал/копия)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F2569" w:rsidRPr="009F2569" w:rsidRDefault="009F2569" w:rsidP="00A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Формат </w:t>
            </w:r>
          </w:p>
        </w:tc>
      </w:tr>
      <w:tr w:rsidR="0060077C" w:rsidRPr="009F2569" w:rsidTr="00CF36AA">
        <w:trPr>
          <w:trHeight w:val="783"/>
        </w:trPr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</w:tcPr>
          <w:p w:rsidR="009F2569" w:rsidRPr="009F2569" w:rsidRDefault="0060077C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/ Решение уполномоченного органа Эмитента (выписка из указанного протокола) об утверждении Регистратора и условий договора на ведение Реестра, с приложением утверждаемого проекта договора</w:t>
            </w:r>
          </w:p>
        </w:tc>
        <w:tc>
          <w:tcPr>
            <w:tcW w:w="0" w:type="auto"/>
          </w:tcPr>
          <w:p w:rsidR="008A6806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/ Протокол -</w:t>
            </w:r>
            <w:r w:rsidR="00FE6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копия, заверенная Эмитентом </w:t>
            </w:r>
            <w:r w:rsidR="008A6806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1"/>
            </w:r>
          </w:p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протокола - оригинал </w:t>
            </w:r>
          </w:p>
        </w:tc>
        <w:tc>
          <w:tcPr>
            <w:tcW w:w="0" w:type="auto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60077C" w:rsidRPr="009F2569" w:rsidTr="00CF36AA">
        <w:trPr>
          <w:trHeight w:val="323"/>
        </w:trPr>
        <w:tc>
          <w:tcPr>
            <w:tcW w:w="0" w:type="auto"/>
          </w:tcPr>
          <w:p w:rsidR="008A6806" w:rsidRPr="009F2569" w:rsidRDefault="00506BBE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A6806"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8A6806" w:rsidRPr="009F2569" w:rsidRDefault="0065795B" w:rsidP="00657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Доверенность в отношении должностных лиц Эмитента,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которым</w:t>
            </w:r>
            <w:r w:rsidRPr="00657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едоставляется право получения </w:t>
            </w:r>
            <w:r w:rsidRPr="00657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 из Реестра</w:t>
            </w:r>
          </w:p>
        </w:tc>
        <w:tc>
          <w:tcPr>
            <w:tcW w:w="0" w:type="auto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0" w:type="auto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60077C" w:rsidRPr="009F2569" w:rsidTr="00CF36AA">
        <w:trPr>
          <w:trHeight w:val="93"/>
        </w:trPr>
        <w:tc>
          <w:tcPr>
            <w:tcW w:w="0" w:type="auto"/>
          </w:tcPr>
          <w:p w:rsidR="008A6806" w:rsidRPr="009F2569" w:rsidRDefault="00506BBE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A6806"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Анкета Эмитента </w:t>
            </w:r>
          </w:p>
        </w:tc>
        <w:tc>
          <w:tcPr>
            <w:tcW w:w="0" w:type="auto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  <w: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2"/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CF36AA">
        <w:trPr>
          <w:trHeight w:val="93"/>
        </w:trPr>
        <w:tc>
          <w:tcPr>
            <w:tcW w:w="0" w:type="auto"/>
          </w:tcPr>
          <w:p w:rsidR="009F2569" w:rsidRPr="009F2569" w:rsidRDefault="00506BBE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F2569"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 паспорта единоличного исполнительного органа Эмитента (все страницы) </w:t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Копия, заверенная Эмитентом </w:t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CF36AA">
        <w:trPr>
          <w:trHeight w:val="93"/>
        </w:trPr>
        <w:tc>
          <w:tcPr>
            <w:tcW w:w="0" w:type="auto"/>
          </w:tcPr>
          <w:p w:rsidR="009F2569" w:rsidRPr="009F2569" w:rsidRDefault="00506BBE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F2569"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Анкета уполномоченного представителя (для физических или юридических лиц) </w:t>
            </w:r>
          </w:p>
        </w:tc>
        <w:tc>
          <w:tcPr>
            <w:tcW w:w="0" w:type="auto"/>
          </w:tcPr>
          <w:p w:rsidR="008A6806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  <w:r w:rsidR="008A6806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3"/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CF36AA">
        <w:trPr>
          <w:trHeight w:val="93"/>
        </w:trPr>
        <w:tc>
          <w:tcPr>
            <w:tcW w:w="0" w:type="auto"/>
          </w:tcPr>
          <w:p w:rsidR="009F2569" w:rsidRPr="009F2569" w:rsidRDefault="00506BBE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F2569"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Опросный лист для юридических лиц </w:t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CF36AA">
        <w:trPr>
          <w:trHeight w:val="93"/>
        </w:trPr>
        <w:tc>
          <w:tcPr>
            <w:tcW w:w="0" w:type="auto"/>
          </w:tcPr>
          <w:p w:rsidR="009F2569" w:rsidRPr="009F2569" w:rsidRDefault="00506BBE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F2569"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Опросный лист «Сведения о </w:t>
            </w:r>
            <w:proofErr w:type="spellStart"/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бенефициарных</w:t>
            </w:r>
            <w:proofErr w:type="spellEnd"/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владельцах» </w:t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CF36AA">
        <w:trPr>
          <w:trHeight w:val="93"/>
        </w:trPr>
        <w:tc>
          <w:tcPr>
            <w:tcW w:w="0" w:type="auto"/>
          </w:tcPr>
          <w:p w:rsidR="009F2569" w:rsidRPr="009F2569" w:rsidRDefault="00506BBE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F2569"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Опросный лист «Сведения о выгодоприобретателях» </w:t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8A6806" w:rsidRPr="009F2569" w:rsidTr="00CF36AA">
        <w:trPr>
          <w:trHeight w:val="93"/>
        </w:trPr>
        <w:tc>
          <w:tcPr>
            <w:tcW w:w="0" w:type="auto"/>
          </w:tcPr>
          <w:p w:rsidR="009F2569" w:rsidRPr="009F2569" w:rsidRDefault="00506BBE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F2569"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8A6806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(документы) о финансовом положении </w:t>
            </w:r>
            <w:r w:rsidR="008A6806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4"/>
            </w:r>
          </w:p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 отсутствия документов, подтверждающих финансовое положение, Эмитентом предоставляется письмо с указанием причины </w:t>
            </w:r>
            <w:proofErr w:type="spellStart"/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непредоставления</w:t>
            </w:r>
            <w:proofErr w:type="spellEnd"/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сведений </w:t>
            </w:r>
          </w:p>
        </w:tc>
        <w:tc>
          <w:tcPr>
            <w:tcW w:w="0" w:type="auto"/>
          </w:tcPr>
          <w:p w:rsidR="008A6806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Документы о финансовом положении - копия, заверенная Эмитентом </w:t>
            </w:r>
          </w:p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- оригинал </w:t>
            </w:r>
          </w:p>
        </w:tc>
        <w:tc>
          <w:tcPr>
            <w:tcW w:w="0" w:type="auto"/>
          </w:tcPr>
          <w:p w:rsidR="008A6806" w:rsidRPr="009F2569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  <w:tr w:rsidR="00A92F13" w:rsidRPr="009F2569" w:rsidTr="00CF36AA">
        <w:trPr>
          <w:trHeight w:val="93"/>
        </w:trPr>
        <w:tc>
          <w:tcPr>
            <w:tcW w:w="0" w:type="auto"/>
          </w:tcPr>
          <w:p w:rsidR="008A6806" w:rsidRPr="009F2569" w:rsidRDefault="008A6806" w:rsidP="00506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0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8A6806" w:rsidRDefault="008A6806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деловой репутации </w:t>
            </w:r>
            <w:r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5"/>
            </w:r>
          </w:p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 отсутствия документов, подтверждающих деловую репутацию, Эмитентом предоставляется письмо с указанием причины </w:t>
            </w:r>
            <w:proofErr w:type="spellStart"/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непредоставления</w:t>
            </w:r>
            <w:proofErr w:type="spellEnd"/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сведений </w:t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0" w:type="auto"/>
          </w:tcPr>
          <w:p w:rsidR="009F2569" w:rsidRPr="009F2569" w:rsidRDefault="009F2569" w:rsidP="009F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Бумажный </w:t>
            </w:r>
          </w:p>
        </w:tc>
      </w:tr>
    </w:tbl>
    <w:p w:rsidR="00080638" w:rsidRPr="00080638" w:rsidRDefault="00080638" w:rsidP="00302F69">
      <w:pPr>
        <w:pStyle w:val="Default"/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080638">
        <w:rPr>
          <w:rFonts w:ascii="Times New Roman" w:hAnsi="Times New Roman" w:cs="Times New Roman"/>
          <w:sz w:val="18"/>
          <w:szCs w:val="20"/>
        </w:rPr>
        <w:t>Документы, предоставление которых допускается в виде копий, заверенных Эмитентом, объем которых превышает один лист, должны быть прошиты, пронумерованы, прошивка подписана руководителем Эмитента и скреплена печатью Эмитента.</w:t>
      </w:r>
    </w:p>
    <w:sectPr w:rsidR="00080638" w:rsidRPr="00080638" w:rsidSect="00256BE2">
      <w:footerReference w:type="default" r:id="rId9"/>
      <w:endnotePr>
        <w:numFmt w:val="decimal"/>
      </w:endnotePr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6B4" w:rsidRDefault="00EE16B4" w:rsidP="00A92F13">
      <w:pPr>
        <w:spacing w:after="0" w:line="240" w:lineRule="auto"/>
      </w:pPr>
      <w:r>
        <w:separator/>
      </w:r>
    </w:p>
  </w:endnote>
  <w:endnote w:type="continuationSeparator" w:id="0">
    <w:p w:rsidR="00EE16B4" w:rsidRDefault="00EE16B4" w:rsidP="00A92F13">
      <w:pPr>
        <w:spacing w:after="0" w:line="240" w:lineRule="auto"/>
      </w:pPr>
      <w:r>
        <w:continuationSeparator/>
      </w:r>
    </w:p>
  </w:endnote>
  <w:endnote w:id="1">
    <w:p w:rsidR="008A6806" w:rsidRPr="00D46A2A" w:rsidRDefault="008A6806" w:rsidP="00302F69">
      <w:pPr>
        <w:pStyle w:val="ac"/>
        <w:spacing w:before="120"/>
        <w:jc w:val="both"/>
        <w:rPr>
          <w:rFonts w:ascii="Times New Roman" w:hAnsi="Times New Roman" w:cs="Times New Roman"/>
          <w:sz w:val="18"/>
        </w:rPr>
      </w:pPr>
      <w:r>
        <w:rPr>
          <w:rStyle w:val="ae"/>
        </w:rPr>
        <w:endnoteRef/>
      </w:r>
      <w:r>
        <w:t xml:space="preserve"> </w:t>
      </w:r>
      <w:r w:rsidRPr="00D46A2A">
        <w:rPr>
          <w:rFonts w:ascii="Times New Roman" w:hAnsi="Times New Roman" w:cs="Times New Roman"/>
          <w:i/>
          <w:iCs/>
          <w:sz w:val="18"/>
        </w:rPr>
        <w:t>Под заверением Эмитентом в настоящем и последующих пунктах понимается удостоверение документа руководителем Эмитента с приложением печати или иным лицом, уполномоченным Эмитентом осуществлять удостоверение верности копий документов (необходимо предоставление доверенности).</w:t>
      </w:r>
    </w:p>
  </w:endnote>
  <w:endnote w:id="2">
    <w:p w:rsidR="008A6806" w:rsidRPr="00D46A2A" w:rsidRDefault="008A6806" w:rsidP="00302F69">
      <w:pPr>
        <w:pStyle w:val="ac"/>
        <w:spacing w:before="120"/>
        <w:jc w:val="both"/>
        <w:rPr>
          <w:rFonts w:ascii="Times New Roman" w:hAnsi="Times New Roman" w:cs="Times New Roman"/>
          <w:sz w:val="18"/>
        </w:rPr>
      </w:pPr>
      <w:r w:rsidRPr="00D46A2A">
        <w:rPr>
          <w:rStyle w:val="ae"/>
          <w:rFonts w:ascii="Times New Roman" w:hAnsi="Times New Roman" w:cs="Times New Roman"/>
          <w:sz w:val="18"/>
        </w:rPr>
        <w:endnoteRef/>
      </w:r>
      <w:r w:rsidRPr="00D46A2A">
        <w:rPr>
          <w:rFonts w:ascii="Times New Roman" w:hAnsi="Times New Roman" w:cs="Times New Roman"/>
          <w:sz w:val="18"/>
        </w:rPr>
        <w:t xml:space="preserve"> </w:t>
      </w:r>
      <w:r w:rsidRPr="00D46A2A">
        <w:rPr>
          <w:rFonts w:ascii="Times New Roman" w:hAnsi="Times New Roman" w:cs="Times New Roman"/>
          <w:i/>
          <w:iCs/>
          <w:sz w:val="18"/>
        </w:rPr>
        <w:t>В случае, если подписание Анкеты Эмитента осуществляется не в присутствии уполномоченного сотрудника Регистратора, к Анкете Эмитента прилагается карточка с образцом подписи единоличного исполнительного органа Эмитента и оттиском печати, заверенная нотариально.</w:t>
      </w:r>
    </w:p>
  </w:endnote>
  <w:endnote w:id="3">
    <w:p w:rsidR="008A6806" w:rsidRPr="00D46A2A" w:rsidRDefault="008A6806" w:rsidP="00302F69">
      <w:pPr>
        <w:pStyle w:val="ac"/>
        <w:spacing w:before="120"/>
        <w:jc w:val="both"/>
        <w:rPr>
          <w:rFonts w:ascii="Times New Roman" w:hAnsi="Times New Roman" w:cs="Times New Roman"/>
          <w:sz w:val="18"/>
        </w:rPr>
      </w:pPr>
      <w:r w:rsidRPr="00D46A2A">
        <w:rPr>
          <w:rStyle w:val="ae"/>
          <w:rFonts w:ascii="Times New Roman" w:hAnsi="Times New Roman" w:cs="Times New Roman"/>
          <w:sz w:val="18"/>
        </w:rPr>
        <w:endnoteRef/>
      </w:r>
      <w:r w:rsidRPr="00D46A2A">
        <w:rPr>
          <w:rFonts w:ascii="Times New Roman" w:hAnsi="Times New Roman" w:cs="Times New Roman"/>
          <w:sz w:val="18"/>
        </w:rPr>
        <w:t xml:space="preserve"> </w:t>
      </w:r>
      <w:r w:rsidRPr="00D46A2A">
        <w:rPr>
          <w:rFonts w:ascii="Times New Roman" w:hAnsi="Times New Roman" w:cs="Times New Roman"/>
          <w:i/>
          <w:iCs/>
          <w:sz w:val="18"/>
        </w:rPr>
        <w:t>В случае, если подписание Анкеты уполномоченного представителя осуществляется не в присутствии уполномоченного сотрудника Регистратора, подпись в такой анкете должно быть заверена нотариально.</w:t>
      </w:r>
    </w:p>
  </w:endnote>
  <w:endnote w:id="4">
    <w:p w:rsidR="008A6806" w:rsidRPr="00D46A2A" w:rsidRDefault="008A6806" w:rsidP="00302F69">
      <w:pPr>
        <w:pStyle w:val="Default"/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Style w:val="ae"/>
          <w:rFonts w:ascii="Times New Roman" w:hAnsi="Times New Roman" w:cs="Times New Roman"/>
          <w:color w:val="auto"/>
          <w:sz w:val="18"/>
          <w:szCs w:val="20"/>
        </w:rPr>
        <w:endnoteRef/>
      </w:r>
      <w:r w:rsidRPr="00D46A2A">
        <w:rPr>
          <w:rFonts w:ascii="Times New Roman" w:hAnsi="Times New Roman" w:cs="Times New Roman"/>
          <w:sz w:val="22"/>
        </w:rPr>
        <w:t xml:space="preserve"> </w:t>
      </w: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В качестве сведений (документов) о финансовом положении Эмитентом могут быть предоставлены, в частности, следующие документы: </w:t>
      </w:r>
    </w:p>
    <w:p w:rsidR="008A6806" w:rsidRPr="00D46A2A" w:rsidRDefault="008A6806" w:rsidP="00302F69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копия годовой бухгалтерской отчетности (бухгалтерский баланс и отчет о финансовом результате); </w:t>
      </w:r>
    </w:p>
    <w:p w:rsidR="008A6806" w:rsidRPr="00D46A2A" w:rsidRDefault="008A6806" w:rsidP="00302F69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и (или) копия годовой (либо квартальной) налоговой декларации с отметками налогового органа об их принятии или без такой отметки с приложением,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</w:t>
      </w:r>
    </w:p>
    <w:p w:rsidR="008A6806" w:rsidRPr="00D46A2A" w:rsidRDefault="008A6806" w:rsidP="00302F69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</w:t>
      </w:r>
    </w:p>
    <w:p w:rsidR="008A6806" w:rsidRPr="00D46A2A" w:rsidRDefault="008A6806" w:rsidP="00302F69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</w:t>
      </w:r>
    </w:p>
    <w:p w:rsidR="008A6806" w:rsidRPr="00D46A2A" w:rsidRDefault="008A6806" w:rsidP="00302F69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</w:r>
      <w:proofErr w:type="spellStart"/>
      <w:r w:rsidRPr="00D46A2A">
        <w:rPr>
          <w:rFonts w:ascii="Times New Roman" w:hAnsi="Times New Roman" w:cs="Times New Roman"/>
          <w:i/>
          <w:iCs/>
          <w:sz w:val="18"/>
          <w:szCs w:val="20"/>
        </w:rPr>
        <w:t>некредитную</w:t>
      </w:r>
      <w:proofErr w:type="spellEnd"/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 финансовую организацию; </w:t>
      </w:r>
    </w:p>
    <w:p w:rsidR="008A6806" w:rsidRPr="00D46A2A" w:rsidRDefault="008A6806" w:rsidP="00302F69">
      <w:pPr>
        <w:pStyle w:val="ac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18"/>
        </w:rPr>
      </w:pPr>
      <w:r w:rsidRPr="00D46A2A">
        <w:rPr>
          <w:rFonts w:ascii="Times New Roman" w:hAnsi="Times New Roman" w:cs="Times New Roman"/>
          <w:i/>
          <w:iCs/>
          <w:sz w:val="18"/>
        </w:rPr>
        <w:t>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</w:r>
      <w:proofErr w:type="spellStart"/>
      <w:r w:rsidRPr="00D46A2A">
        <w:rPr>
          <w:rFonts w:ascii="Times New Roman" w:hAnsi="Times New Roman" w:cs="Times New Roman"/>
          <w:i/>
          <w:iCs/>
          <w:sz w:val="18"/>
        </w:rPr>
        <w:t>Standard</w:t>
      </w:r>
      <w:proofErr w:type="spellEnd"/>
      <w:r w:rsidRPr="00D46A2A">
        <w:rPr>
          <w:rFonts w:ascii="Times New Roman" w:hAnsi="Times New Roman" w:cs="Times New Roman"/>
          <w:i/>
          <w:iCs/>
          <w:sz w:val="18"/>
        </w:rPr>
        <w:t xml:space="preserve"> &amp; </w:t>
      </w:r>
      <w:proofErr w:type="spellStart"/>
      <w:r w:rsidRPr="00D46A2A">
        <w:rPr>
          <w:rFonts w:ascii="Times New Roman" w:hAnsi="Times New Roman" w:cs="Times New Roman"/>
          <w:i/>
          <w:iCs/>
          <w:sz w:val="18"/>
        </w:rPr>
        <w:t>Poor's</w:t>
      </w:r>
      <w:proofErr w:type="spellEnd"/>
      <w:r w:rsidRPr="00D46A2A">
        <w:rPr>
          <w:rFonts w:ascii="Times New Roman" w:hAnsi="Times New Roman" w:cs="Times New Roman"/>
          <w:i/>
          <w:iCs/>
          <w:sz w:val="18"/>
        </w:rPr>
        <w:t>», «</w:t>
      </w:r>
      <w:proofErr w:type="spellStart"/>
      <w:r w:rsidRPr="00D46A2A">
        <w:rPr>
          <w:rFonts w:ascii="Times New Roman" w:hAnsi="Times New Roman" w:cs="Times New Roman"/>
          <w:i/>
          <w:iCs/>
          <w:sz w:val="18"/>
        </w:rPr>
        <w:t>Fitch-Ratings</w:t>
      </w:r>
      <w:proofErr w:type="spellEnd"/>
      <w:r w:rsidRPr="00D46A2A">
        <w:rPr>
          <w:rFonts w:ascii="Times New Roman" w:hAnsi="Times New Roman" w:cs="Times New Roman"/>
          <w:i/>
          <w:iCs/>
          <w:sz w:val="18"/>
        </w:rPr>
        <w:t>», «</w:t>
      </w:r>
      <w:proofErr w:type="spellStart"/>
      <w:r w:rsidRPr="00D46A2A">
        <w:rPr>
          <w:rFonts w:ascii="Times New Roman" w:hAnsi="Times New Roman" w:cs="Times New Roman"/>
          <w:i/>
          <w:iCs/>
          <w:sz w:val="18"/>
        </w:rPr>
        <w:t>Moody's</w:t>
      </w:r>
      <w:proofErr w:type="spellEnd"/>
      <w:r w:rsidRPr="00D46A2A">
        <w:rPr>
          <w:rFonts w:ascii="Times New Roman" w:hAnsi="Times New Roman" w:cs="Times New Roman"/>
          <w:i/>
          <w:iCs/>
          <w:sz w:val="18"/>
        </w:rPr>
        <w:t xml:space="preserve"> </w:t>
      </w:r>
      <w:proofErr w:type="spellStart"/>
      <w:r w:rsidRPr="00D46A2A">
        <w:rPr>
          <w:rFonts w:ascii="Times New Roman" w:hAnsi="Times New Roman" w:cs="Times New Roman"/>
          <w:i/>
          <w:iCs/>
          <w:sz w:val="18"/>
        </w:rPr>
        <w:t>Investors</w:t>
      </w:r>
      <w:proofErr w:type="spellEnd"/>
      <w:r w:rsidRPr="00D46A2A">
        <w:rPr>
          <w:rFonts w:ascii="Times New Roman" w:hAnsi="Times New Roman" w:cs="Times New Roman"/>
          <w:i/>
          <w:iCs/>
          <w:sz w:val="18"/>
        </w:rPr>
        <w:t xml:space="preserve"> </w:t>
      </w:r>
      <w:proofErr w:type="spellStart"/>
      <w:r w:rsidRPr="00D46A2A">
        <w:rPr>
          <w:rFonts w:ascii="Times New Roman" w:hAnsi="Times New Roman" w:cs="Times New Roman"/>
          <w:i/>
          <w:iCs/>
          <w:sz w:val="18"/>
        </w:rPr>
        <w:t>Service</w:t>
      </w:r>
      <w:proofErr w:type="spellEnd"/>
      <w:r w:rsidRPr="00D46A2A">
        <w:rPr>
          <w:rFonts w:ascii="Times New Roman" w:hAnsi="Times New Roman" w:cs="Times New Roman"/>
          <w:i/>
          <w:iCs/>
          <w:sz w:val="18"/>
        </w:rPr>
        <w:t>» и другие) и национальных рейтинговых агентств).</w:t>
      </w:r>
    </w:p>
  </w:endnote>
  <w:endnote w:id="5">
    <w:p w:rsidR="008A6806" w:rsidRPr="00D46A2A" w:rsidRDefault="008A6806" w:rsidP="00302F69">
      <w:pPr>
        <w:pStyle w:val="Default"/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Style w:val="ae"/>
          <w:rFonts w:ascii="Times New Roman" w:hAnsi="Times New Roman" w:cs="Times New Roman"/>
          <w:color w:val="auto"/>
          <w:sz w:val="18"/>
          <w:szCs w:val="20"/>
        </w:rPr>
        <w:endnoteRef/>
      </w:r>
      <w:r w:rsidRPr="00D46A2A">
        <w:rPr>
          <w:rFonts w:ascii="Times New Roman" w:hAnsi="Times New Roman" w:cs="Times New Roman"/>
          <w:sz w:val="22"/>
        </w:rPr>
        <w:t xml:space="preserve"> </w:t>
      </w: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В качестве сведений о деловой репутации Эмитентом могут быть предоставлены, в частности, следующие документы: </w:t>
      </w:r>
    </w:p>
    <w:p w:rsidR="008A6806" w:rsidRPr="00D46A2A" w:rsidRDefault="008A6806" w:rsidP="00302F69">
      <w:pPr>
        <w:pStyle w:val="Default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отзывы (в произвольной письменной форме, при возможности их получения) об Эмитенте других клиентов Регистратора, имеющих с ним деловые отношения; </w:t>
      </w:r>
    </w:p>
    <w:p w:rsidR="008A6806" w:rsidRPr="00D46A2A" w:rsidRDefault="008A6806" w:rsidP="00302F69">
      <w:pPr>
        <w:pStyle w:val="Default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18"/>
          <w:szCs w:val="20"/>
        </w:rPr>
      </w:pPr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и (или) отзывы (в произвольной письменной форме, при возможности их получения) от кредитных организаций и (или) </w:t>
      </w:r>
      <w:proofErr w:type="spellStart"/>
      <w:r w:rsidRPr="00D46A2A">
        <w:rPr>
          <w:rFonts w:ascii="Times New Roman" w:hAnsi="Times New Roman" w:cs="Times New Roman"/>
          <w:i/>
          <w:iCs/>
          <w:sz w:val="18"/>
          <w:szCs w:val="20"/>
        </w:rPr>
        <w:t>некредитных</w:t>
      </w:r>
      <w:proofErr w:type="spellEnd"/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 финансовых организаций, в которых Эмитент находится (находился) на обслуживании, с информацией этих кредитных организаций и (или) </w:t>
      </w:r>
      <w:proofErr w:type="spellStart"/>
      <w:r w:rsidRPr="00D46A2A">
        <w:rPr>
          <w:rFonts w:ascii="Times New Roman" w:hAnsi="Times New Roman" w:cs="Times New Roman"/>
          <w:i/>
          <w:iCs/>
          <w:sz w:val="18"/>
          <w:szCs w:val="20"/>
        </w:rPr>
        <w:t>некредитных</w:t>
      </w:r>
      <w:proofErr w:type="spellEnd"/>
      <w:r w:rsidRPr="00D46A2A">
        <w:rPr>
          <w:rFonts w:ascii="Times New Roman" w:hAnsi="Times New Roman" w:cs="Times New Roman"/>
          <w:i/>
          <w:iCs/>
          <w:sz w:val="18"/>
          <w:szCs w:val="20"/>
        </w:rPr>
        <w:t xml:space="preserve"> финансовых организаций об оценке деловой репутации Эмитента.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73990951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799150425"/>
          <w:docPartObj>
            <w:docPartGallery w:val="Page Numbers (Top of Page)"/>
            <w:docPartUnique/>
          </w:docPartObj>
        </w:sdtPr>
        <w:sdtEndPr/>
        <w:sdtContent>
          <w:p w:rsidR="00A92F13" w:rsidRPr="00D46A2A" w:rsidRDefault="00A92F13" w:rsidP="00A92F13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A2A">
              <w:rPr>
                <w:rFonts w:ascii="Times New Roman" w:hAnsi="Times New Roman" w:cs="Times New Roman"/>
                <w:sz w:val="18"/>
                <w:szCs w:val="18"/>
              </w:rPr>
              <w:t xml:space="preserve">Страница </w:t>
            </w:r>
            <w:r w:rsidRPr="00D46A2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D46A2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D46A2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178E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D46A2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D46A2A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Pr="00D46A2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D46A2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D46A2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178E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D46A2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6B4" w:rsidRDefault="00EE16B4" w:rsidP="00A92F13">
      <w:pPr>
        <w:spacing w:after="0" w:line="240" w:lineRule="auto"/>
      </w:pPr>
      <w:r>
        <w:separator/>
      </w:r>
    </w:p>
  </w:footnote>
  <w:footnote w:type="continuationSeparator" w:id="0">
    <w:p w:rsidR="00EE16B4" w:rsidRDefault="00EE16B4" w:rsidP="00A92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F21"/>
    <w:multiLevelType w:val="hybridMultilevel"/>
    <w:tmpl w:val="35C2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0BE5"/>
    <w:multiLevelType w:val="hybridMultilevel"/>
    <w:tmpl w:val="18223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B31E5"/>
    <w:multiLevelType w:val="hybridMultilevel"/>
    <w:tmpl w:val="AC00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65CC"/>
    <w:multiLevelType w:val="hybridMultilevel"/>
    <w:tmpl w:val="0FCE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A1F92"/>
    <w:multiLevelType w:val="hybridMultilevel"/>
    <w:tmpl w:val="699638D8"/>
    <w:lvl w:ilvl="0" w:tplc="EB4A326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00583"/>
    <w:multiLevelType w:val="hybridMultilevel"/>
    <w:tmpl w:val="34505EEA"/>
    <w:lvl w:ilvl="0" w:tplc="3542946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28"/>
    <w:rsid w:val="00080638"/>
    <w:rsid w:val="00114F9B"/>
    <w:rsid w:val="001F14B9"/>
    <w:rsid w:val="0022297F"/>
    <w:rsid w:val="00256816"/>
    <w:rsid w:val="00256BE2"/>
    <w:rsid w:val="00302F69"/>
    <w:rsid w:val="003056BD"/>
    <w:rsid w:val="00313428"/>
    <w:rsid w:val="00353AA8"/>
    <w:rsid w:val="00490416"/>
    <w:rsid w:val="004B33D4"/>
    <w:rsid w:val="004C3ADB"/>
    <w:rsid w:val="004C5BE4"/>
    <w:rsid w:val="00506BBE"/>
    <w:rsid w:val="0052574D"/>
    <w:rsid w:val="0060077C"/>
    <w:rsid w:val="0062797C"/>
    <w:rsid w:val="0065795B"/>
    <w:rsid w:val="006C622F"/>
    <w:rsid w:val="006D2A2D"/>
    <w:rsid w:val="007178EA"/>
    <w:rsid w:val="007912D0"/>
    <w:rsid w:val="007A15C4"/>
    <w:rsid w:val="008A6806"/>
    <w:rsid w:val="008F2CD8"/>
    <w:rsid w:val="009042AE"/>
    <w:rsid w:val="009F2569"/>
    <w:rsid w:val="00A92F13"/>
    <w:rsid w:val="00A972BC"/>
    <w:rsid w:val="00B14581"/>
    <w:rsid w:val="00B22041"/>
    <w:rsid w:val="00C53EAF"/>
    <w:rsid w:val="00C60A49"/>
    <w:rsid w:val="00CF36AA"/>
    <w:rsid w:val="00D46A2A"/>
    <w:rsid w:val="00D84E57"/>
    <w:rsid w:val="00EE16B4"/>
    <w:rsid w:val="00F0185B"/>
    <w:rsid w:val="00F23DCA"/>
    <w:rsid w:val="00FD6B93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BEEF6-9408-4942-ACCC-1F6B8F41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42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28"/>
    <w:rPr>
      <w:rFonts w:ascii="Segoe UI" w:hAnsi="Segoe UI"/>
      <w:sz w:val="18"/>
      <w:szCs w:val="18"/>
    </w:rPr>
  </w:style>
  <w:style w:type="paragraph" w:customStyle="1" w:styleId="Default">
    <w:name w:val="Default"/>
    <w:rsid w:val="009F25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2F13"/>
  </w:style>
  <w:style w:type="paragraph" w:styleId="a7">
    <w:name w:val="footer"/>
    <w:basedOn w:val="a"/>
    <w:link w:val="a8"/>
    <w:uiPriority w:val="99"/>
    <w:unhideWhenUsed/>
    <w:rsid w:val="00A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F13"/>
  </w:style>
  <w:style w:type="paragraph" w:styleId="a9">
    <w:name w:val="footnote text"/>
    <w:basedOn w:val="a"/>
    <w:link w:val="aa"/>
    <w:uiPriority w:val="99"/>
    <w:semiHidden/>
    <w:unhideWhenUsed/>
    <w:rsid w:val="00FE652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E652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E652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A680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A6806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A6806"/>
    <w:rPr>
      <w:vertAlign w:val="superscript"/>
    </w:rPr>
  </w:style>
  <w:style w:type="paragraph" w:styleId="af">
    <w:name w:val="List Paragraph"/>
    <w:basedOn w:val="a"/>
    <w:uiPriority w:val="34"/>
    <w:qFormat/>
    <w:rsid w:val="0060077C"/>
    <w:pPr>
      <w:ind w:left="720"/>
      <w:contextualSpacing/>
    </w:pPr>
  </w:style>
  <w:style w:type="table" w:styleId="af0">
    <w:name w:val="Table Grid"/>
    <w:basedOn w:val="a1"/>
    <w:uiPriority w:val="39"/>
    <w:rsid w:val="004C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nm">
    <w:name w:val="smnm контакты"/>
    <w:basedOn w:val="a5"/>
    <w:link w:val="smnm0"/>
    <w:qFormat/>
    <w:rsid w:val="004C3ADB"/>
    <w:pPr>
      <w:spacing w:line="200" w:lineRule="exact"/>
      <w:jc w:val="both"/>
    </w:pPr>
    <w:rPr>
      <w:rFonts w:ascii="Arial" w:hAnsi="Arial" w:cs="Arial"/>
      <w:sz w:val="14"/>
      <w:szCs w:val="15"/>
    </w:rPr>
  </w:style>
  <w:style w:type="character" w:customStyle="1" w:styleId="smnm0">
    <w:name w:val="smnm контакты Знак"/>
    <w:basedOn w:val="a6"/>
    <w:link w:val="smnm"/>
    <w:rsid w:val="004C3ADB"/>
    <w:rPr>
      <w:rFonts w:ascii="Arial" w:hAnsi="Arial" w:cs="Arial"/>
      <w:sz w:val="14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2596A-C340-403A-8EBD-795E7ADE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Дмитрий Евгеньевич</dc:creator>
  <cp:keywords/>
  <dc:description/>
  <cp:lastModifiedBy>Берковец Елена Владимировна</cp:lastModifiedBy>
  <cp:revision>6</cp:revision>
  <cp:lastPrinted>2014-09-02T07:58:00Z</cp:lastPrinted>
  <dcterms:created xsi:type="dcterms:W3CDTF">2017-08-23T10:47:00Z</dcterms:created>
  <dcterms:modified xsi:type="dcterms:W3CDTF">2022-09-13T10:22:00Z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-122156972</vt:i4>
  </property>
  <property fmtid="{D5CDD505-2E9C-101B-9397-08002B2CF9AE}" pid="3" name="_NewReviewCycle">
    <vt:lpwstr/>
  </property>
  <property fmtid="{D5CDD505-2E9C-101B-9397-08002B2CF9AE}" pid="4" name="_EmailSubject">
    <vt:lpwstr>Прием от экс-регистратора</vt:lpwstr>
  </property>
  <property fmtid="{D5CDD505-2E9C-101B-9397-08002B2CF9AE}" pid="5" name="_AuthorEmail">
    <vt:lpwstr>e.berkovets@reggarant.ru</vt:lpwstr>
  </property>
  <property fmtid="{D5CDD505-2E9C-101B-9397-08002B2CF9AE}" pid="6" name="_AuthorEmailDisplayName">
    <vt:lpwstr>Берковец Елена Владимировна</vt:lpwstr>
  </property>
  <property fmtid="{D5CDD505-2E9C-101B-9397-08002B2CF9AE}" pid="7" name="_PreviousAdHocReviewCycleID">
    <vt:i4>-2071564447</vt:i4>
  </property>
  <property fmtid="{D5CDD505-2E9C-101B-9397-08002B2CF9AE}" pid="8" name="_ReviewingToolsShownOnce">
    <vt:lpwstr/>
  </property>
</Properties>
</file>